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Offer-to-joining playbook</w:t>
      </w:r>
    </w:p>
    <w:p>
      <w:pPr>
        <w:spacing w:after="240"/>
      </w:pPr>
      <w:r>
        <w:rPr>
          <w:b w:val="0"/>
          <w:color w:val="6B6B6B"/>
        </w:rPr>
        <w:t>Almost half of offers to CAs are turned down, and the top reason is a competing offer. This is how to keep yours accepted.</w:t>
      </w:r>
    </w:p>
    <w:p>
      <w:r>
        <w:rPr>
          <w:b w:val="0"/>
          <w:color w:val="6B6B6B"/>
        </w:rPr>
        <w:t>Source: CA Monk's recruiting data, 2026 (talent.camonk.com).</w:t>
      </w:r>
    </w:p>
    <w:tbl>
      <w:tblPr>
        <w:tblStyle w:val="TableGrid"/>
        <w:tblW w:type="auto" w:w="0"/>
        <w:tblLook w:firstColumn="1" w:firstRow="1" w:lastColumn="0" w:lastRow="0" w:noHBand="0" w:noVBand="1" w:val="04A0"/>
      </w:tblPr>
      <w:tblGrid>
        <w:gridCol w:w="9746"/>
      </w:tblGrid>
      <w:tr>
        <w:tc>
          <w:tcPr>
            <w:tcW w:type="dxa" w:w="9746"/>
            <w:shd w:val="clear" w:color="auto" w:fill="F3F4F6"/>
          </w:tcPr>
          <w:p>
            <w:r>
              <w:rPr>
                <w:b/>
                <w:sz w:val="19"/>
              </w:rPr>
              <w:t>How to use this template (delete this box before sending)</w:t>
            </w:r>
          </w:p>
          <w:p>
            <w:pPr>
              <w:spacing w:after="40"/>
            </w:pPr>
            <w:r>
              <w:rPr>
                <w:b w:val="0"/>
                <w:sz w:val="19"/>
              </w:rPr>
              <w:t>•  Use it from the first interview, not after the offer. Most declines are decided long before the offer arrives.</w:t>
            </w:r>
          </w:p>
          <w:p>
            <w:pPr>
              <w:spacing w:after="40"/>
            </w:pPr>
            <w:r>
              <w:rPr>
                <w:b w:val="0"/>
                <w:sz w:val="19"/>
              </w:rPr>
              <w:t>•  The notice period is the danger zone: 60–90 days in which your candidate is still interviewing and still receiving counter-offers.</w:t>
            </w:r>
          </w:p>
          <w:p>
            <w:pPr>
              <w:spacing w:after="40"/>
            </w:pPr>
            <w:r>
              <w:rPr>
                <w:b w:val="0"/>
                <w:sz w:val="19"/>
              </w:rPr>
              <w:t>•  For reference only, not legal advice. Laws and your own policies may differ: check the final document with your HR, payroll or legal advisor.</w:t>
            </w:r>
          </w:p>
        </w:tc>
      </w:tr>
    </w:tbl>
    <w:p>
      <w:pPr>
        <w:spacing w:after="40"/>
      </w:pPr>
    </w:p>
    <w:p>
      <w:pPr>
        <w:pStyle w:val="Heading2"/>
      </w:pPr>
      <w:r>
        <w:rPr>
          <w:b w:val="0"/>
        </w:rPr>
        <w:t>Before the offer</w:t>
      </w:r>
    </w:p>
    <w:p>
      <w:pPr>
        <w:spacing w:after="60"/>
        <w:ind w:left="227"/>
      </w:pPr>
      <w:r>
        <w:t xml:space="preserve">☐  </w:t>
      </w:r>
      <w:r>
        <w:rPr>
          <w:b w:val="0"/>
        </w:rPr>
        <w:t>Ask early: 'Where else are you interviewing, and how far along?' Ask again at every round.</w:t>
      </w:r>
    </w:p>
    <w:p>
      <w:pPr>
        <w:spacing w:after="60"/>
        <w:ind w:left="227"/>
      </w:pPr>
      <w:r>
        <w:t xml:space="preserve">☐  </w:t>
      </w:r>
      <w:r>
        <w:rPr>
          <w:b w:val="0"/>
        </w:rPr>
        <w:t>Confirm expected CTC and notice period in writing before the final round.</w:t>
      </w:r>
    </w:p>
    <w:p>
      <w:pPr>
        <w:spacing w:after="60"/>
        <w:ind w:left="227"/>
      </w:pPr>
      <w:r>
        <w:t xml:space="preserve">☐  </w:t>
      </w:r>
      <w:r>
        <w:rPr>
          <w:b w:val="0"/>
        </w:rPr>
        <w:t>Ask what would make them stay with their current employer. That is your counter-offer risk.</w:t>
      </w:r>
    </w:p>
    <w:p>
      <w:pPr>
        <w:spacing w:after="60"/>
        <w:ind w:left="227"/>
      </w:pPr>
      <w:r>
        <w:t xml:space="preserve">☐  </w:t>
      </w:r>
      <w:r>
        <w:rPr>
          <w:b w:val="0"/>
        </w:rPr>
        <w:t>Keep the process under two weeks. Every extra week is another offer they can collect.</w:t>
      </w:r>
    </w:p>
    <w:p>
      <w:pPr>
        <w:pStyle w:val="Heading2"/>
      </w:pPr>
      <w:r>
        <w:rPr>
          <w:b w:val="0"/>
        </w:rPr>
        <w:t>Offer day</w:t>
      </w:r>
    </w:p>
    <w:p>
      <w:pPr>
        <w:spacing w:after="60"/>
        <w:ind w:left="227"/>
      </w:pPr>
      <w:r>
        <w:t xml:space="preserve">☐  </w:t>
      </w:r>
      <w:r>
        <w:rPr>
          <w:b w:val="0"/>
        </w:rPr>
        <w:t>Call first, then send the letter. The hiring manager makes the call, not HR.</w:t>
      </w:r>
    </w:p>
    <w:p>
      <w:pPr>
        <w:spacing w:after="60"/>
        <w:ind w:left="227"/>
      </w:pPr>
      <w:r>
        <w:t xml:space="preserve">☐  </w:t>
      </w:r>
      <w:r>
        <w:rPr>
          <w:b w:val="0"/>
        </w:rPr>
        <w:t>Walk through the CTC breakup line by line. Surprises in the fixed/variable split cause declines.</w:t>
      </w:r>
    </w:p>
    <w:p>
      <w:pPr>
        <w:spacing w:after="60"/>
        <w:ind w:left="227"/>
      </w:pPr>
      <w:r>
        <w:t xml:space="preserve">☐  </w:t>
      </w:r>
      <w:r>
        <w:rPr>
          <w:b w:val="0"/>
        </w:rPr>
        <w:t>Give a clear, short deadline to accept (3–5 working days).</w:t>
      </w:r>
    </w:p>
    <w:p>
      <w:pPr>
        <w:spacing w:after="60"/>
        <w:ind w:left="227"/>
      </w:pPr>
      <w:r>
        <w:t xml:space="preserve">☐  </w:t>
      </w:r>
      <w:r>
        <w:rPr>
          <w:b w:val="0"/>
        </w:rPr>
        <w:t xml:space="preserve">Ask directly: 'Is there anything that would stop you from joining on </w:t>
      </w:r>
      <w:r>
        <w:rPr>
          <w:b w:val="0"/>
          <w:highlight w:val="yellow"/>
        </w:rPr>
        <w:t>[date]</w:t>
      </w:r>
      <w:r>
        <w:rPr>
          <w:b w:val="0"/>
        </w:rPr>
        <w:t>?'</w:t>
      </w:r>
    </w:p>
    <w:p>
      <w:pPr>
        <w:pStyle w:val="Heading2"/>
      </w:pPr>
      <w:r>
        <w:rPr>
          <w:b w:val="0"/>
        </w:rPr>
        <w:t>During the notice period</w:t>
      </w:r>
    </w:p>
    <w:tbl>
      <w:tblPr>
        <w:tblStyle w:val="TableGrid"/>
        <w:tblW w:type="auto" w:w="0"/>
        <w:jc w:val="center"/>
        <w:tblLayout w:type="fixed"/>
        <w:tblLook w:firstColumn="1" w:firstRow="1" w:lastColumn="0" w:lastRow="0" w:noHBand="0" w:noVBand="1" w:val="04A0"/>
      </w:tblPr>
      <w:tblGrid>
        <w:gridCol w:w="1587"/>
        <w:gridCol w:w="5783"/>
        <w:gridCol w:w="1984"/>
      </w:tblGrid>
      <w:tr>
        <w:tc>
          <w:tcPr>
            <w:tcW w:type="dxa" w:w="1587"/>
            <w:shd w:val="clear" w:color="auto" w:fill="EDEDED"/>
          </w:tcPr>
          <w:p>
            <w:r/>
            <w:r>
              <w:rPr>
                <w:b/>
                <w:sz w:val="19"/>
              </w:rPr>
              <w:t>When</w:t>
            </w:r>
          </w:p>
        </w:tc>
        <w:tc>
          <w:tcPr>
            <w:tcW w:type="dxa" w:w="5783"/>
            <w:shd w:val="clear" w:color="auto" w:fill="EDEDED"/>
          </w:tcPr>
          <w:p>
            <w:r/>
            <w:r>
              <w:rPr>
                <w:b/>
                <w:sz w:val="19"/>
              </w:rPr>
              <w:t>Touchpoint</w:t>
            </w:r>
          </w:p>
        </w:tc>
        <w:tc>
          <w:tcPr>
            <w:tcW w:type="dxa" w:w="1984"/>
            <w:shd w:val="clear" w:color="auto" w:fill="EDEDED"/>
          </w:tcPr>
          <w:p>
            <w:r/>
            <w:r>
              <w:rPr>
                <w:b/>
                <w:sz w:val="19"/>
              </w:rPr>
              <w:t>Owner</w:t>
            </w:r>
          </w:p>
        </w:tc>
      </w:tr>
      <w:tr>
        <w:tc>
          <w:tcPr>
            <w:tcW w:type="dxa" w:w="1587"/>
          </w:tcPr>
          <w:p>
            <w:r/>
            <w:r>
              <w:rPr>
                <w:b w:val="0"/>
                <w:sz w:val="19"/>
              </w:rPr>
              <w:t>Day 1</w:t>
            </w:r>
          </w:p>
        </w:tc>
        <w:tc>
          <w:tcPr>
            <w:tcW w:type="dxa" w:w="5783"/>
          </w:tcPr>
          <w:p>
            <w:r/>
            <w:r>
              <w:rPr>
                <w:b w:val="0"/>
                <w:sz w:val="19"/>
              </w:rPr>
              <w:t>Confirm resignation submitted. Ask about the counter-offer conversation.</w:t>
            </w:r>
          </w:p>
        </w:tc>
        <w:tc>
          <w:tcPr>
            <w:tcW w:type="dxa" w:w="1984"/>
          </w:tcPr>
          <w:p>
            <w:r/>
            <w:r>
              <w:rPr>
                <w:b w:val="0"/>
                <w:sz w:val="19"/>
                <w:highlight w:val="yellow"/>
              </w:rPr>
              <w:t>[HR]</w:t>
            </w:r>
          </w:p>
        </w:tc>
      </w:tr>
      <w:tr>
        <w:tc>
          <w:tcPr>
            <w:tcW w:type="dxa" w:w="1587"/>
          </w:tcPr>
          <w:p>
            <w:r/>
            <w:r>
              <w:rPr>
                <w:b w:val="0"/>
                <w:sz w:val="19"/>
              </w:rPr>
              <w:t>Week 1</w:t>
            </w:r>
          </w:p>
        </w:tc>
        <w:tc>
          <w:tcPr>
            <w:tcW w:type="dxa" w:w="5783"/>
          </w:tcPr>
          <w:p>
            <w:r/>
            <w:r>
              <w:rPr>
                <w:b w:val="0"/>
                <w:sz w:val="19"/>
              </w:rPr>
              <w:t>Welcome email from the team; share the first-week plan.</w:t>
            </w:r>
          </w:p>
        </w:tc>
        <w:tc>
          <w:tcPr>
            <w:tcW w:type="dxa" w:w="1984"/>
          </w:tcPr>
          <w:p>
            <w:r/>
            <w:r>
              <w:rPr>
                <w:b w:val="0"/>
                <w:sz w:val="19"/>
                <w:highlight w:val="yellow"/>
              </w:rPr>
              <w:t>[Hiring manager]</w:t>
            </w:r>
          </w:p>
        </w:tc>
      </w:tr>
      <w:tr>
        <w:tc>
          <w:tcPr>
            <w:tcW w:type="dxa" w:w="1587"/>
          </w:tcPr>
          <w:p>
            <w:r/>
            <w:r>
              <w:rPr>
                <w:b w:val="0"/>
                <w:sz w:val="19"/>
              </w:rPr>
              <w:t>Week 2</w:t>
            </w:r>
          </w:p>
        </w:tc>
        <w:tc>
          <w:tcPr>
            <w:tcW w:type="dxa" w:w="5783"/>
          </w:tcPr>
          <w:p>
            <w:r/>
            <w:r>
              <w:rPr>
                <w:b w:val="0"/>
                <w:sz w:val="19"/>
              </w:rPr>
              <w:t>Coffee or video call with their future manager.</w:t>
            </w:r>
          </w:p>
        </w:tc>
        <w:tc>
          <w:tcPr>
            <w:tcW w:type="dxa" w:w="1984"/>
          </w:tcPr>
          <w:p>
            <w:r/>
            <w:r>
              <w:rPr>
                <w:b w:val="0"/>
                <w:sz w:val="19"/>
                <w:highlight w:val="yellow"/>
              </w:rPr>
              <w:t>[Hiring manager]</w:t>
            </w:r>
          </w:p>
        </w:tc>
      </w:tr>
      <w:tr>
        <w:tc>
          <w:tcPr>
            <w:tcW w:type="dxa" w:w="1587"/>
          </w:tcPr>
          <w:p>
            <w:r/>
            <w:r>
              <w:rPr>
                <w:b w:val="0"/>
                <w:sz w:val="19"/>
              </w:rPr>
              <w:t>Week 3–4</w:t>
            </w:r>
          </w:p>
        </w:tc>
        <w:tc>
          <w:tcPr>
            <w:tcW w:type="dxa" w:w="5783"/>
          </w:tcPr>
          <w:p>
            <w:r/>
            <w:r>
              <w:rPr>
                <w:b w:val="0"/>
                <w:sz w:val="19"/>
              </w:rPr>
              <w:t>Collect documents; start the laptop and access requests.</w:t>
            </w:r>
          </w:p>
        </w:tc>
        <w:tc>
          <w:tcPr>
            <w:tcW w:type="dxa" w:w="1984"/>
          </w:tcPr>
          <w:p>
            <w:r/>
            <w:r>
              <w:rPr>
                <w:b w:val="0"/>
                <w:sz w:val="19"/>
                <w:highlight w:val="yellow"/>
              </w:rPr>
              <w:t>[HR / IT]</w:t>
            </w:r>
          </w:p>
        </w:tc>
      </w:tr>
      <w:tr>
        <w:tc>
          <w:tcPr>
            <w:tcW w:type="dxa" w:w="1587"/>
          </w:tcPr>
          <w:p>
            <w:r/>
            <w:r>
              <w:rPr>
                <w:b w:val="0"/>
                <w:sz w:val="19"/>
              </w:rPr>
              <w:t>Mid-notice</w:t>
            </w:r>
          </w:p>
        </w:tc>
        <w:tc>
          <w:tcPr>
            <w:tcW w:type="dxa" w:w="5783"/>
          </w:tcPr>
          <w:p>
            <w:r/>
            <w:r>
              <w:rPr>
                <w:b w:val="0"/>
                <w:sz w:val="19"/>
              </w:rPr>
              <w:t>Invite them to a team lunch or event.</w:t>
            </w:r>
          </w:p>
        </w:tc>
        <w:tc>
          <w:tcPr>
            <w:tcW w:type="dxa" w:w="1984"/>
          </w:tcPr>
          <w:p>
            <w:r/>
            <w:r>
              <w:rPr>
                <w:b w:val="0"/>
                <w:sz w:val="19"/>
                <w:highlight w:val="yellow"/>
              </w:rPr>
              <w:t>[Hiring manager]</w:t>
            </w:r>
          </w:p>
        </w:tc>
      </w:tr>
      <w:tr>
        <w:tc>
          <w:tcPr>
            <w:tcW w:type="dxa" w:w="1587"/>
          </w:tcPr>
          <w:p>
            <w:r/>
            <w:r>
              <w:rPr>
                <w:b w:val="0"/>
                <w:sz w:val="19"/>
              </w:rPr>
              <w:t>2 weeks out</w:t>
            </w:r>
          </w:p>
        </w:tc>
        <w:tc>
          <w:tcPr>
            <w:tcW w:type="dxa" w:w="5783"/>
          </w:tcPr>
          <w:p>
            <w:r/>
            <w:r>
              <w:rPr>
                <w:b w:val="0"/>
                <w:sz w:val="19"/>
              </w:rPr>
              <w:t>Confirm the joining date and send the day-one agenda.</w:t>
            </w:r>
          </w:p>
        </w:tc>
        <w:tc>
          <w:tcPr>
            <w:tcW w:type="dxa" w:w="1984"/>
          </w:tcPr>
          <w:p>
            <w:r/>
            <w:r>
              <w:rPr>
                <w:b w:val="0"/>
                <w:sz w:val="19"/>
                <w:highlight w:val="yellow"/>
              </w:rPr>
              <w:t>[HR]</w:t>
            </w:r>
          </w:p>
        </w:tc>
      </w:tr>
      <w:tr>
        <w:tc>
          <w:tcPr>
            <w:tcW w:type="dxa" w:w="1587"/>
          </w:tcPr>
          <w:p>
            <w:r/>
            <w:r>
              <w:rPr>
                <w:b w:val="0"/>
                <w:sz w:val="19"/>
              </w:rPr>
              <w:t>2 days out</w:t>
            </w:r>
          </w:p>
        </w:tc>
        <w:tc>
          <w:tcPr>
            <w:tcW w:type="dxa" w:w="5783"/>
          </w:tcPr>
          <w:p>
            <w:r/>
            <w:r>
              <w:rPr>
                <w:b w:val="0"/>
                <w:sz w:val="19"/>
              </w:rPr>
              <w:t>Final call: logistics, reporting time, who meets them.</w:t>
            </w:r>
          </w:p>
        </w:tc>
        <w:tc>
          <w:tcPr>
            <w:tcW w:type="dxa" w:w="1984"/>
          </w:tcPr>
          <w:p>
            <w:r/>
            <w:r>
              <w:rPr>
                <w:b w:val="0"/>
                <w:sz w:val="19"/>
                <w:highlight w:val="yellow"/>
              </w:rPr>
              <w:t>[HR]</w:t>
            </w:r>
          </w:p>
        </w:tc>
      </w:tr>
    </w:tbl>
    <w:p>
      <w:pPr>
        <w:spacing w:after="40"/>
      </w:pPr>
    </w:p>
    <w:p>
      <w:pPr>
        <w:pStyle w:val="Heading2"/>
      </w:pPr>
      <w:r>
        <w:rPr>
          <w:b w:val="0"/>
        </w:rPr>
        <w:t>Warning signs</w:t>
      </w:r>
    </w:p>
    <w:p>
      <w:pPr>
        <w:spacing w:after="60"/>
        <w:ind w:left="227"/>
      </w:pPr>
      <w:r>
        <w:t xml:space="preserve">☐  </w:t>
      </w:r>
      <w:r>
        <w:rPr>
          <w:b w:val="0"/>
        </w:rPr>
        <w:t>Stops replying, or replies take days</w:t>
      </w:r>
    </w:p>
    <w:p>
      <w:pPr>
        <w:spacing w:after="60"/>
        <w:ind w:left="227"/>
      </w:pPr>
      <w:r>
        <w:t xml:space="preserve">☐  </w:t>
      </w:r>
      <w:r>
        <w:rPr>
          <w:b w:val="0"/>
        </w:rPr>
        <w:t>Asks to push the joining date without a clear reason</w:t>
      </w:r>
    </w:p>
    <w:p>
      <w:pPr>
        <w:spacing w:after="60"/>
        <w:ind w:left="227"/>
      </w:pPr>
      <w:r>
        <w:t xml:space="preserve">☐  </w:t>
      </w:r>
      <w:r>
        <w:rPr>
          <w:b w:val="0"/>
        </w:rPr>
        <w:t>Hasn't resigned a week after accepting</w:t>
      </w:r>
    </w:p>
    <w:p>
      <w:pPr>
        <w:spacing w:after="60"/>
        <w:ind w:left="227"/>
      </w:pPr>
      <w:r>
        <w:t xml:space="preserve">☐  </w:t>
      </w:r>
      <w:r>
        <w:rPr>
          <w:b w:val="0"/>
        </w:rPr>
        <w:t>Asks new questions about CTC after accepting</w:t>
      </w:r>
    </w:p>
    <w:p>
      <w:pPr>
        <w:spacing w:after="60"/>
        <w:ind w:left="227"/>
      </w:pPr>
      <w:r>
        <w:t xml:space="preserve">☐  </w:t>
      </w:r>
      <w:r>
        <w:rPr>
          <w:b w:val="0"/>
        </w:rPr>
        <w:t>Their current employer 'hasn't accepted' the resignation</w:t>
      </w:r>
    </w:p>
    <w:p>
      <w:r>
        <w:rPr>
          <w:b w:val="0"/>
        </w:rPr>
        <w:t>If you see two or more: call the same day. Ask plainly whether they are still joining, and what has changed. Keep your second-choice candidate warm until day one.</w:t>
      </w:r>
    </w:p>
    <w:p>
      <w:pPr>
        <w:pStyle w:val="Heading2"/>
      </w:pPr>
      <w:r>
        <w:rPr>
          <w:b w:val="0"/>
        </w:rPr>
        <w:t>Notice period buyouts</w:t>
      </w:r>
    </w:p>
    <w:p>
      <w:r>
        <w:rPr>
          <w:b w:val="0"/>
        </w:rPr>
        <w:t>If the joining date slips past what the role can bear, consider buying out part of the notice period. Agree the amount, who pays it and any clawback in writing before the candidate resigns.</w:t>
      </w:r>
    </w:p>
    <w:sectPr w:rsidR="00FC693F" w:rsidRPr="0006063C" w:rsidSect="00034616">
      <w:footerReference w:type="default" r:id="rId9"/>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B6B6B"/>
        <w:sz w:val="16"/>
      </w:rPr>
      <w:t>Template by CA Monk · talent.camonk.com · Free HR templates for finance hiring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1F1F1F"/>
      <w:sz w:val="2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F1F1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eastAsia="Arial"/>
      <w:b/>
      <w:color w:val="1F1F1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Offer-to-joining playbook</dc:title>
  <dc:subject/>
  <dc:creator>CA Monk</dc:creator>
  <cp:keywords/>
  <dc:description>https://talent.camonk.com/hr-toolkit</dc:description>
  <cp:lastModifiedBy/>
  <cp:revision>1</cp:revision>
  <dcterms:created xsi:type="dcterms:W3CDTF">2013-12-23T23:15:00Z</dcterms:created>
  <dcterms:modified xsi:type="dcterms:W3CDTF">2013-12-23T23:15:00Z</dcterms:modified>
  <cp:category/>
</cp:coreProperties>
</file>